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D1E65">
      <w:pPr>
        <w:pStyle w:val="2"/>
      </w:pPr>
      <w:r>
        <w:t>TỘI PHẠM SỬ DỤNG CÔNG NGHỆ CAO</w:t>
      </w:r>
    </w:p>
    <w:p w14:paraId="0D7EEEA3">
      <w:pPr>
        <w:spacing w:before="120" w:after="120" w:line="400" w:lineRule="exact"/>
        <w:ind w:firstLine="720"/>
        <w:jc w:val="both"/>
        <w:rPr>
          <w:rFonts w:eastAsia="Calibri" w:cs="Times New Roman"/>
          <w:bCs/>
          <w:color w:val="000000"/>
          <w:szCs w:val="28"/>
        </w:rPr>
      </w:pPr>
      <w:r>
        <w:rPr>
          <w:rFonts w:eastAsia="Calibri" w:cs="Times New Roman"/>
          <w:color w:val="000000"/>
          <w:szCs w:val="28"/>
        </w:rPr>
        <w:t xml:space="preserve">là hành vi nguy hiểm cho xã hội được quy định trong Bộ luật Hình sự có sử dụng công nghệ cao. Thông qua việc </w:t>
      </w:r>
      <w:r>
        <w:rPr>
          <w:rFonts w:eastAsia="Calibri" w:cs="Times New Roman"/>
          <w:bCs/>
          <w:color w:val="000000"/>
          <w:szCs w:val="28"/>
        </w:rPr>
        <w:t>sử dụng tri thức, kỹ năng, công cụ, phương tiện công nghệ thông tin và truyền thông ở trình độ cao, một cách cố ý xâm phạm đến trật tự, an toàn thông tin, gây tổn hại lợi ích của Nhà nước, quyền và các lợi ích hợp pháp của các tổ chức, cá nhân trong và ngoài nước.</w:t>
      </w:r>
    </w:p>
    <w:p w14:paraId="59958DD9">
      <w:pPr>
        <w:spacing w:before="120" w:after="120" w:line="400" w:lineRule="exact"/>
        <w:ind w:firstLine="720"/>
        <w:jc w:val="both"/>
        <w:rPr>
          <w:rFonts w:eastAsia="Calibri" w:cs="Times New Roman"/>
          <w:bCs/>
          <w:spacing w:val="-4"/>
          <w:szCs w:val="28"/>
        </w:rPr>
      </w:pPr>
      <w:r>
        <w:rPr>
          <w:rFonts w:eastAsia="Calibri" w:cs="Times New Roman"/>
          <w:bCs/>
          <w:color w:val="000000"/>
          <w:spacing w:val="-4"/>
          <w:szCs w:val="28"/>
        </w:rPr>
        <w:t xml:space="preserve">Yếu tố </w:t>
      </w:r>
      <w:r>
        <w:rPr>
          <w:rFonts w:eastAsia="Calibri" w:cs="Times New Roman"/>
          <w:color w:val="000000"/>
          <w:spacing w:val="-4"/>
          <w:szCs w:val="28"/>
        </w:rPr>
        <w:t xml:space="preserve">công nghệ cao bao hàm công nghệ có hàm lượng cao về </w:t>
      </w:r>
      <w:r>
        <w:rPr>
          <w:rFonts w:eastAsia="Calibri" w:cs="Times New Roman"/>
          <w:color w:val="000000"/>
          <w:spacing w:val="-4"/>
          <w:szCs w:val="28"/>
          <w:lang w:val="pt-BR"/>
        </w:rPr>
        <w:t>nghiên cứu khoa học và phát triển công nghệ</w:t>
      </w:r>
      <w:r>
        <w:rPr>
          <w:rFonts w:eastAsia="Calibri" w:cs="Times New Roman"/>
          <w:color w:val="000000"/>
          <w:spacing w:val="-4"/>
          <w:szCs w:val="28"/>
        </w:rPr>
        <w:t>; được tích hợp từ thành tựu khoa học và công nghệ hiện đại; tạo ra sản phẩm có chất lượng, tính năng vượt trội, giá trị gia tăng cao, thân thiện với môi trường; có vai trò quan trọng đối với việc hình thành ngành sản xuất, dịch vụ mới hoặc hiện đại hoá ngành sản xuất, dịch vụ hiện có.</w:t>
      </w:r>
    </w:p>
    <w:p w14:paraId="596FA53B">
      <w:pPr>
        <w:spacing w:before="120" w:after="120" w:line="400" w:lineRule="exact"/>
        <w:ind w:firstLine="720"/>
        <w:jc w:val="both"/>
        <w:rPr>
          <w:rFonts w:eastAsia="Calibri" w:cs="Times New Roman"/>
          <w:szCs w:val="28"/>
          <w:lang w:val="nl-NL"/>
        </w:rPr>
      </w:pPr>
      <w:bookmarkStart w:id="0" w:name="_Toc529280309"/>
      <w:r>
        <w:rPr>
          <w:rFonts w:eastAsia="Calibri" w:cs="Times New Roman"/>
          <w:bCs/>
          <w:szCs w:val="28"/>
        </w:rPr>
        <w:t>Đặc điểm của TPSDCNC</w:t>
      </w:r>
      <w:bookmarkEnd w:id="0"/>
      <w:r>
        <w:rPr>
          <w:rFonts w:eastAsia="Calibri" w:cs="Times New Roman"/>
          <w:bCs/>
          <w:szCs w:val="28"/>
        </w:rPr>
        <w:t>:</w:t>
      </w:r>
      <w:r>
        <w:rPr>
          <w:rFonts w:eastAsia="Calibri" w:cs="Times New Roman"/>
          <w:b/>
          <w:bCs/>
          <w:i/>
          <w:szCs w:val="28"/>
        </w:rPr>
        <w:fldChar w:fldCharType="begin"/>
      </w:r>
      <w:r>
        <w:rPr>
          <w:rFonts w:eastAsia="Calibri" w:cs="Times New Roman"/>
          <w:bCs/>
          <w:szCs w:val="28"/>
        </w:rPr>
        <w:instrText xml:space="preserve"> XE "Đặc điểm của tội phạm sử dụng công nghệ cao" </w:instrText>
      </w:r>
      <w:r>
        <w:rPr>
          <w:rFonts w:eastAsia="Calibri" w:cs="Times New Roman"/>
          <w:b/>
          <w:bCs/>
          <w:i/>
          <w:szCs w:val="28"/>
        </w:rPr>
        <w:fldChar w:fldCharType="end"/>
      </w:r>
      <w:r>
        <w:rPr>
          <w:rFonts w:eastAsia="Calibri" w:cs="Times New Roman"/>
          <w:bCs/>
          <w:szCs w:val="28"/>
          <w:lang w:val="nl-NL"/>
        </w:rPr>
        <w:t xml:space="preserve"> </w:t>
      </w:r>
      <w:r>
        <w:rPr>
          <w:rFonts w:eastAsia="Calibri" w:cs="Times New Roman"/>
          <w:szCs w:val="28"/>
          <w:lang w:val="nl-NL"/>
        </w:rPr>
        <w:t xml:space="preserve">(1) </w:t>
      </w:r>
      <w:r>
        <w:rPr>
          <w:rFonts w:eastAsia="Calibri" w:cs="Times New Roman"/>
          <w:bCs/>
          <w:szCs w:val="28"/>
          <w:lang w:val="nl-NL"/>
        </w:rPr>
        <w:t>một loại tội phạm mới, xuất hiện khi công nghệ thông tin, viễn thông phát triển và được ứng dụng rộng rãi trong xã hội;</w:t>
      </w:r>
      <w:r>
        <w:rPr>
          <w:rFonts w:eastAsia="Calibri" w:cs="Times New Roman"/>
          <w:szCs w:val="28"/>
          <w:lang w:val="nl-NL"/>
        </w:rPr>
        <w:t xml:space="preserve"> (2) tội phạm phi truyền thống. Phần lớn các hoạt động của đối tượng phạm tội diễn ra trên môi trường “ảo”, không có giới hạn về không gian, thời gian</w:t>
      </w:r>
      <w:r>
        <w:rPr>
          <w:rFonts w:eastAsia="Calibri" w:cs="Times New Roman"/>
          <w:bCs/>
          <w:szCs w:val="28"/>
          <w:lang w:val="nl-NL"/>
        </w:rPr>
        <w:t>;</w:t>
      </w:r>
      <w:r>
        <w:rPr>
          <w:rFonts w:eastAsia="Calibri" w:cs="Times New Roman"/>
          <w:szCs w:val="28"/>
          <w:lang w:val="nl-NL"/>
        </w:rPr>
        <w:t xml:space="preserve"> (3) tội phạm mang tính quốc tế, hoạt động xuyên quốc gia</w:t>
      </w:r>
      <w:r>
        <w:rPr>
          <w:rFonts w:eastAsia="Calibri" w:cs="Times New Roman"/>
          <w:bCs/>
          <w:szCs w:val="28"/>
          <w:lang w:val="nl-NL"/>
        </w:rPr>
        <w:t>;</w:t>
      </w:r>
      <w:r>
        <w:rPr>
          <w:rFonts w:eastAsia="Calibri" w:cs="Times New Roman"/>
          <w:szCs w:val="28"/>
          <w:lang w:val="nl-NL"/>
        </w:rPr>
        <w:t xml:space="preserve"> (4)</w:t>
      </w:r>
      <w:r>
        <w:rPr>
          <w:rFonts w:eastAsia="Calibri" w:cs="Times New Roman"/>
          <w:bCs/>
          <w:szCs w:val="28"/>
          <w:lang w:val="nl-NL"/>
        </w:rPr>
        <w:t xml:space="preserve"> </w:t>
      </w:r>
      <w:r>
        <w:rPr>
          <w:rFonts w:eastAsia="Calibri" w:cs="Times New Roman"/>
          <w:szCs w:val="28"/>
          <w:lang w:val="nl-NL"/>
        </w:rPr>
        <w:t>sự gia tăng nhanh chóng, hậu quả gây ra vô cùng to lớn và có phạm vi ảnh hưởng rộng; (5) đối tượng trực tiếp thực hiện hành vi phạm tội sử dụng công nghệ cao là những người có trình độ về công nghệ thông tin ở nhiều mức độ khác nhau. Mỗi nhóm đối tượng theo trình độ có những đặc điểm khác nhau. Nhóm những đối tượng có trình độ rất cao, được đào tạo đầy đủ, có kinh nghiệm, kỹ năng chuyên sâu về công nghệ thông tin. Các đối tượng này thực hiện những hành vi phạm tội sử dụng công nghệ cao có tính nguy hiểm cao, hiểu sâu về cơ chế kỹ thuật của những hoạt động phạm tội, sử dụng nhiều thủ đoạn che giấu và xoá dấu vết. Quá trình thực hiện tội phạm có sự cấu kết giữa nhiều đối tượng và nhóm đối tượng trên phạm vi rộng, thường ở nhiều quốc gia khác nhau, có sự phân công các công đoạn cho từng đối tượng, từng nhóm, sử dụng không gian mạng (các diễn đàn tội phạm) để chia sẻ thông tin, công cụ, phương tiện phạm tội mang các đặc trưng cơ bản của tội phạm có tổ chức.</w:t>
      </w:r>
    </w:p>
    <w:p w14:paraId="2B22BBC0">
      <w:pPr>
        <w:spacing w:before="120" w:after="120" w:line="400" w:lineRule="exact"/>
        <w:ind w:firstLine="720"/>
        <w:jc w:val="both"/>
        <w:rPr>
          <w:rFonts w:eastAsia="Calibri" w:cs="Times New Roman"/>
          <w:bCs/>
          <w:szCs w:val="28"/>
          <w:lang w:val="nl-NL"/>
        </w:rPr>
      </w:pPr>
      <w:r>
        <w:rPr>
          <w:rFonts w:eastAsia="Calibri" w:cs="Times New Roman"/>
          <w:bCs/>
          <w:szCs w:val="28"/>
          <w:lang w:val="nl-NL"/>
        </w:rPr>
        <w:t>Thủ đoạn của TPSDCNC ngày càng tinh vi, phức tạp, gây rất nhiều khó khăn cho việc phát hiện, điều tra. Tính nặc danh, ẩn danh trong các giao tiếp trên không gian mạng thường là yếu tố được các đối tượng phạm tội sử dụng công nghệ cao lợi dụng để che giấu danh tính trong quá trình phạm tội. Mặt khác, đối tượng phạm tội sử dụng công nghệ cao còn sử dụng rất nhiều thủ thuật và công cụ để thay đổi địa chỉ thiết bị khi giao tiếp trên mạng như: giả mạo địa chỉ thư điện tử (fake email), giả địa chỉ IP (fake IP), giả số điện thoại (fake phone number)... Đối tượng có thể sử dụng nhiều thủ thuật, kỹ thuật để xoá các dấu vết về quá trình xâm nhập trái phép. Những thủ đoạn này gây rất nhiều khó khăn cho quá trình truy tìm, xác định đối tượng mà sự thành công phụ thuộc rất nhiều vào trình độ, trang thiết bị của lực lượng điều tra và sự hợp tác của những nhà cung cấp dịch vụ ở các quốc gia khác nhau.</w:t>
      </w:r>
    </w:p>
    <w:p w14:paraId="6E897D21">
      <w:pPr>
        <w:spacing w:before="120" w:after="120" w:line="400" w:lineRule="exact"/>
        <w:ind w:firstLine="720"/>
        <w:jc w:val="both"/>
        <w:rPr>
          <w:rFonts w:eastAsia="Calibri" w:cs="Times New Roman"/>
          <w:b/>
          <w:i/>
          <w:szCs w:val="28"/>
        </w:rPr>
      </w:pPr>
      <w:r>
        <w:rPr>
          <w:rFonts w:eastAsia="Calibri" w:cs="Times New Roman"/>
          <w:bCs/>
          <w:szCs w:val="28"/>
          <w:lang w:val="nl-NL"/>
        </w:rPr>
        <w:t>Phân loại TPSDCNC: Loại thứ nhất là những tội phạm hoàn toàn mới, gắn liền với sự ra đời, phát triển của công nghệ thông tin như: sản xuất, mua bán, trao đổi, tặng cho công cụ, thiết bị, phần mềm để sử dụng vào mục đích trái pháp luật; phát tán chương trình tin học gây hại cho hoạt động của mạng máy tính, mạng viễn thông, phương tiện điện tử; cản trở hoặc gây rối loạn hoạt động của mạng máy tính, mạng viễn thông, phương tiện điện tử; đưa hoặc sử dụng trái phép thông tin mạng máy tính, mạng viễn thông; xâm nhập trái phép vào mạng máy tính, mạng viễn thông hoặc phương tiện điện tử của người khác. Loại thứ hai là những tội phạm truyền thống được thực hiện theo phương thức mới gắn với việc sử dụng các công cụ, phương tiện thông tin, truyền thông như: lừa đảo qua mạng; làm và sử dụng thẻ ngân hàng giả; xúc phạm danh dự, nhân phẩm, đe doạ, quấy rối qua mạng; trộm cắp thông tin riêng...</w:t>
      </w:r>
    </w:p>
    <w:p w14:paraId="2B9246A9">
      <w:pPr>
        <w:spacing w:before="120" w:after="120" w:line="400" w:lineRule="exact"/>
        <w:ind w:firstLine="720"/>
        <w:jc w:val="both"/>
        <w:rPr>
          <w:rFonts w:eastAsia="Calibri" w:cs="Times New Roman"/>
          <w:szCs w:val="28"/>
        </w:rPr>
      </w:pPr>
      <w:bookmarkStart w:id="1" w:name="_Toc529280310"/>
      <w:r>
        <w:rPr>
          <w:rFonts w:eastAsia="Calibri" w:cs="Times New Roman"/>
          <w:szCs w:val="28"/>
        </w:rPr>
        <w:t>Một số thủ đoạn hoạt động phổ biến của TPSDCNC</w:t>
      </w:r>
      <w:bookmarkEnd w:id="1"/>
      <w:r>
        <w:rPr>
          <w:rFonts w:eastAsia="Calibri" w:cs="Times New Roman"/>
          <w:szCs w:val="28"/>
        </w:rPr>
        <w:t xml:space="preserve"> ở Việt Nam:</w:t>
      </w:r>
      <w:r>
        <w:rPr>
          <w:rFonts w:eastAsia="Calibri" w:cs="Times New Roman"/>
          <w:b/>
          <w:i/>
          <w:szCs w:val="28"/>
        </w:rPr>
        <w:fldChar w:fldCharType="begin"/>
      </w:r>
      <w:r>
        <w:rPr>
          <w:rFonts w:eastAsia="Calibri" w:cs="Times New Roman"/>
          <w:szCs w:val="28"/>
        </w:rPr>
        <w:instrText xml:space="preserve"> XE "Thủ đoạn hoạt động của tội phạm sử dụng công nghệ cao" </w:instrText>
      </w:r>
      <w:r>
        <w:rPr>
          <w:rFonts w:eastAsia="Calibri" w:cs="Times New Roman"/>
          <w:b/>
          <w:i/>
          <w:szCs w:val="28"/>
        </w:rPr>
        <w:fldChar w:fldCharType="end"/>
      </w:r>
      <w:bookmarkStart w:id="2" w:name="_Toc485198917"/>
      <w:r>
        <w:rPr>
          <w:rFonts w:eastAsia="Calibri" w:cs="Times New Roman"/>
          <w:szCs w:val="28"/>
        </w:rPr>
        <w:t xml:space="preserve"> thủ đoạn phát tán các phần mềm độc hại</w:t>
      </w:r>
      <w:bookmarkEnd w:id="2"/>
      <w:bookmarkStart w:id="3" w:name="_Toc485198918"/>
      <w:r>
        <w:rPr>
          <w:rFonts w:eastAsia="Calibri" w:cs="Times New Roman"/>
          <w:szCs w:val="28"/>
        </w:rPr>
        <w:t>; thủ đoạn xâm nhập trái phép</w:t>
      </w:r>
      <w:bookmarkEnd w:id="3"/>
      <w:bookmarkStart w:id="4" w:name="_Toc485198919"/>
      <w:r>
        <w:rPr>
          <w:rFonts w:eastAsia="Calibri" w:cs="Times New Roman"/>
          <w:szCs w:val="28"/>
          <w:lang w:val="nl-NL"/>
        </w:rPr>
        <w:t>; t</w:t>
      </w:r>
      <w:r>
        <w:rPr>
          <w:rFonts w:eastAsia="Calibri" w:cs="Times New Roman"/>
          <w:szCs w:val="28"/>
        </w:rPr>
        <w:t xml:space="preserve">hủ đoạn tấn công gây cản trở, làm rối loạn hoạt động của mạng </w:t>
      </w:r>
      <w:bookmarkEnd w:id="4"/>
      <w:r>
        <w:rPr>
          <w:rFonts w:eastAsia="Calibri" w:cs="Times New Roman"/>
          <w:szCs w:val="28"/>
        </w:rPr>
        <w:t>máy tính, mạng viễn thông, phương tiện điện tử</w:t>
      </w:r>
      <w:bookmarkStart w:id="5" w:name="_Toc485198920"/>
      <w:r>
        <w:rPr>
          <w:rFonts w:eastAsia="Calibri" w:cs="Times New Roman"/>
          <w:szCs w:val="28"/>
          <w:lang w:val="nl-NL"/>
        </w:rPr>
        <w:t xml:space="preserve">; </w:t>
      </w:r>
      <w:r>
        <w:rPr>
          <w:rFonts w:eastAsia="Calibri" w:cs="Times New Roman"/>
          <w:szCs w:val="28"/>
        </w:rPr>
        <w:t>thủ đoạn sử dụng mạng thông tin, thiết bị số thực hiện hành vi chiếm đoạt tài sản</w:t>
      </w:r>
      <w:bookmarkEnd w:id="5"/>
      <w:bookmarkStart w:id="6" w:name="_Toc485198921"/>
      <w:r>
        <w:rPr>
          <w:rFonts w:eastAsia="Calibri" w:cs="Times New Roman"/>
          <w:szCs w:val="28"/>
          <w:lang w:val="vi-VN"/>
        </w:rPr>
        <w:t xml:space="preserve">; </w:t>
      </w:r>
      <w:r>
        <w:rPr>
          <w:rFonts w:eastAsia="Calibri" w:cs="Times New Roman"/>
          <w:szCs w:val="28"/>
        </w:rPr>
        <w:t>thủ đoạn đưa và sử dụng trái phép thông tin trên mạng</w:t>
      </w:r>
      <w:bookmarkEnd w:id="6"/>
      <w:r>
        <w:rPr>
          <w:rFonts w:eastAsia="Calibri" w:cs="Times New Roman"/>
          <w:szCs w:val="28"/>
        </w:rPr>
        <w:t>…</w:t>
      </w:r>
    </w:p>
    <w:p w14:paraId="25AD9BFC">
      <w:pPr>
        <w:spacing w:before="120" w:after="120" w:line="400" w:lineRule="exact"/>
        <w:ind w:firstLine="720"/>
        <w:jc w:val="right"/>
        <w:rPr>
          <w:rFonts w:eastAsia="Calibri" w:cs="Times New Roman"/>
          <w:b/>
          <w:bCs/>
          <w:sz w:val="24"/>
          <w:szCs w:val="24"/>
        </w:rPr>
      </w:pPr>
      <w:r>
        <w:rPr>
          <w:rFonts w:eastAsia="Calibri" w:cs="Times New Roman"/>
          <w:b/>
          <w:bCs/>
          <w:sz w:val="24"/>
          <w:szCs w:val="24"/>
        </w:rPr>
        <w:t>TRẦN ANH TUẤN</w:t>
      </w:r>
    </w:p>
    <w:p w14:paraId="1045DD2E">
      <w:pPr>
        <w:keepNext/>
        <w:keepLines/>
        <w:spacing w:before="120" w:after="120" w:line="400" w:lineRule="exact"/>
        <w:ind w:firstLine="720"/>
        <w:outlineLvl w:val="1"/>
        <w:rPr>
          <w:rFonts w:eastAsia="Calibri" w:cstheme="majorBidi"/>
          <w:b/>
          <w:bCs/>
          <w:sz w:val="24"/>
          <w:szCs w:val="24"/>
        </w:rPr>
      </w:pPr>
      <w:r>
        <w:rPr>
          <w:rFonts w:eastAsia="Calibri" w:cstheme="majorBidi"/>
          <w:b/>
          <w:bCs/>
          <w:sz w:val="24"/>
          <w:szCs w:val="24"/>
        </w:rPr>
        <w:t>Tài liệu tham khảo</w:t>
      </w:r>
    </w:p>
    <w:p w14:paraId="6342DDE3">
      <w:pPr>
        <w:numPr>
          <w:ilvl w:val="0"/>
          <w:numId w:val="1"/>
        </w:numPr>
        <w:tabs>
          <w:tab w:val="left" w:pos="1170"/>
        </w:tabs>
        <w:spacing w:before="120" w:after="120" w:line="400" w:lineRule="exact"/>
        <w:ind w:left="0" w:firstLine="907"/>
        <w:jc w:val="both"/>
        <w:rPr>
          <w:rFonts w:eastAsia="Calibri" w:cs="Times New Roman"/>
          <w:sz w:val="24"/>
          <w:szCs w:val="24"/>
          <w:lang w:val="vi-VN"/>
        </w:rPr>
      </w:pPr>
      <w:r>
        <w:rPr>
          <w:rFonts w:eastAsia="Calibri" w:cs="Times New Roman"/>
          <w:color w:val="000000"/>
          <w:sz w:val="24"/>
          <w:szCs w:val="24"/>
        </w:rPr>
        <w:t xml:space="preserve">Chính phủ, </w:t>
      </w:r>
      <w:r>
        <w:rPr>
          <w:rFonts w:eastAsia="Calibri" w:cs="Times New Roman"/>
          <w:i/>
          <w:iCs/>
          <w:color w:val="000000"/>
          <w:sz w:val="24"/>
          <w:szCs w:val="24"/>
        </w:rPr>
        <w:t>Nghị định quy định về phòng, chống tội phạm và vi phạm pháp luật khác có sử dụng công nghệ cao</w:t>
      </w:r>
      <w:r>
        <w:rPr>
          <w:rFonts w:eastAsia="Calibri" w:cs="Times New Roman"/>
          <w:color w:val="000000"/>
          <w:sz w:val="24"/>
          <w:szCs w:val="24"/>
          <w:lang w:val="vi-VN"/>
        </w:rPr>
        <w:t xml:space="preserve">, </w:t>
      </w:r>
      <w:r>
        <w:rPr>
          <w:rFonts w:eastAsia="Calibri" w:cs="Times New Roman"/>
          <w:i/>
          <w:color w:val="000000"/>
          <w:sz w:val="24"/>
          <w:szCs w:val="24"/>
        </w:rPr>
        <w:t>Nghị định 25/2014/NĐ-CP ngày 7</w:t>
      </w:r>
      <w:r>
        <w:rPr>
          <w:rFonts w:eastAsia="Calibri" w:cs="Times New Roman"/>
          <w:i/>
          <w:color w:val="000000"/>
          <w:sz w:val="24"/>
          <w:szCs w:val="24"/>
          <w:lang w:val="vi-VN"/>
        </w:rPr>
        <w:t>.</w:t>
      </w:r>
      <w:r>
        <w:rPr>
          <w:rFonts w:eastAsia="Calibri" w:cs="Times New Roman"/>
          <w:i/>
          <w:color w:val="000000"/>
          <w:sz w:val="24"/>
          <w:szCs w:val="24"/>
        </w:rPr>
        <w:t>4</w:t>
      </w:r>
      <w:r>
        <w:rPr>
          <w:rFonts w:eastAsia="Calibri" w:cs="Times New Roman"/>
          <w:i/>
          <w:color w:val="000000"/>
          <w:sz w:val="24"/>
          <w:szCs w:val="24"/>
          <w:lang w:val="vi-VN"/>
        </w:rPr>
        <w:t>.</w:t>
      </w:r>
      <w:r>
        <w:rPr>
          <w:rFonts w:eastAsia="Calibri" w:cs="Times New Roman"/>
          <w:i/>
          <w:color w:val="000000"/>
          <w:sz w:val="24"/>
          <w:szCs w:val="24"/>
        </w:rPr>
        <w:t>2014.</w:t>
      </w:r>
    </w:p>
    <w:p w14:paraId="174745CD">
      <w:pPr>
        <w:numPr>
          <w:ilvl w:val="0"/>
          <w:numId w:val="1"/>
        </w:numPr>
        <w:tabs>
          <w:tab w:val="left" w:pos="1170"/>
        </w:tabs>
        <w:spacing w:before="120" w:after="120" w:line="400" w:lineRule="exact"/>
        <w:ind w:left="0" w:firstLine="907"/>
        <w:jc w:val="both"/>
        <w:rPr>
          <w:rFonts w:eastAsia="Calibri" w:cs="Times New Roman"/>
          <w:sz w:val="24"/>
          <w:szCs w:val="24"/>
        </w:rPr>
      </w:pPr>
      <w:r>
        <w:rPr>
          <w:rFonts w:eastAsia="Calibri" w:cs="Times New Roman"/>
          <w:sz w:val="24"/>
          <w:szCs w:val="24"/>
        </w:rPr>
        <w:t xml:space="preserve">Quốc hội, </w:t>
      </w:r>
      <w:r>
        <w:rPr>
          <w:rFonts w:eastAsia="Calibri" w:cs="Times New Roman"/>
          <w:i/>
          <w:iCs/>
          <w:sz w:val="24"/>
          <w:szCs w:val="24"/>
        </w:rPr>
        <w:t>Bộ luật Hình sự 2015, sửa đổi bổ sung 2017</w:t>
      </w:r>
      <w:r>
        <w:rPr>
          <w:rFonts w:eastAsia="Calibri" w:cs="Times New Roman"/>
          <w:sz w:val="24"/>
          <w:szCs w:val="24"/>
        </w:rPr>
        <w:t>.</w:t>
      </w:r>
    </w:p>
    <w:p w14:paraId="244D9860">
      <w:pPr>
        <w:numPr>
          <w:ilvl w:val="0"/>
          <w:numId w:val="1"/>
        </w:numPr>
        <w:tabs>
          <w:tab w:val="left" w:pos="1170"/>
        </w:tabs>
        <w:spacing w:before="120" w:after="120" w:line="400" w:lineRule="exact"/>
        <w:ind w:left="0" w:firstLine="907"/>
        <w:jc w:val="both"/>
        <w:rPr>
          <w:rFonts w:eastAsia="Calibri" w:cs="Times New Roman"/>
          <w:sz w:val="24"/>
          <w:szCs w:val="24"/>
        </w:rPr>
      </w:pPr>
      <w:r>
        <w:rPr>
          <w:rFonts w:eastAsia="Calibri" w:cs="Times New Roman"/>
          <w:sz w:val="24"/>
          <w:szCs w:val="24"/>
        </w:rPr>
        <w:t xml:space="preserve">Quốc hội, </w:t>
      </w:r>
      <w:r>
        <w:rPr>
          <w:rFonts w:eastAsia="Calibri" w:cs="Times New Roman"/>
          <w:i/>
          <w:iCs/>
          <w:sz w:val="24"/>
          <w:szCs w:val="24"/>
        </w:rPr>
        <w:t>Luật Công nghệ cao 2008.</w:t>
      </w:r>
    </w:p>
    <w:p w14:paraId="4FDB589E">
      <w:pPr>
        <w:numPr>
          <w:ilvl w:val="0"/>
          <w:numId w:val="1"/>
        </w:numPr>
        <w:tabs>
          <w:tab w:val="left" w:pos="1170"/>
        </w:tabs>
        <w:spacing w:before="120" w:after="120" w:line="400" w:lineRule="exact"/>
        <w:ind w:left="0" w:firstLine="907"/>
        <w:jc w:val="both"/>
        <w:rPr>
          <w:rFonts w:eastAsia="Calibri" w:cs="Times New Roman"/>
          <w:sz w:val="24"/>
          <w:szCs w:val="24"/>
        </w:rPr>
      </w:pPr>
      <w:r>
        <w:rPr>
          <w:rFonts w:eastAsia="Calibri" w:cs="Times New Roman"/>
          <w:sz w:val="24"/>
          <w:szCs w:val="24"/>
        </w:rPr>
        <w:t xml:space="preserve">Trần Đại Quang - Nguyễn Xuân Yêm, </w:t>
      </w:r>
      <w:r>
        <w:rPr>
          <w:rFonts w:eastAsia="Calibri" w:cs="Times New Roman"/>
          <w:i/>
          <w:iCs/>
          <w:sz w:val="24"/>
          <w:szCs w:val="24"/>
        </w:rPr>
        <w:t>Tội phạm học Việt Nam tập 2 chương XXIII : Đặc điểm tội phạm học và phòng ngừa các tội phạm sử dụng công nghệ cao</w:t>
      </w:r>
      <w:r>
        <w:rPr>
          <w:rFonts w:eastAsia="Calibri" w:cs="Times New Roman"/>
          <w:sz w:val="24"/>
          <w:szCs w:val="24"/>
        </w:rPr>
        <w:t>, Nxb. Công an nhân dân</w:t>
      </w:r>
      <w:r>
        <w:rPr>
          <w:rFonts w:eastAsia="Calibri" w:cs="Times New Roman"/>
          <w:sz w:val="24"/>
          <w:szCs w:val="24"/>
          <w:lang w:val="vi-VN"/>
        </w:rPr>
        <w:t>, 2013.</w:t>
      </w:r>
    </w:p>
    <w:p w14:paraId="458D2490">
      <w:bookmarkStart w:id="7" w:name="_GoBack"/>
      <w:bookmarkEnd w:id="7"/>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76345"/>
    <w:multiLevelType w:val="multilevel"/>
    <w:tmpl w:val="1E87634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38051B7"/>
    <w:rsid w:val="16F60ABB"/>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2026-07-02T13:39:09Z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